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0" w:rsidRDefault="00CA0AC0" w:rsidP="00CA0AC0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 w:rsidRPr="004738A1">
        <w:rPr>
          <w:rFonts w:ascii="Times New Roman" w:hAnsi="Times New Roman" w:cs="Times New Roman"/>
          <w:b/>
          <w:sz w:val="28"/>
          <w:szCs w:val="28"/>
        </w:rPr>
        <w:t>Схема календарного планирования воспи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тательно-образовательной работы МКДОУ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№249.</w:t>
      </w:r>
    </w:p>
    <w:p w:rsidR="00CA0AC0" w:rsidRPr="00A5307F" w:rsidRDefault="00CA0AC0" w:rsidP="00CA0AC0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5307F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134"/>
        <w:gridCol w:w="4536"/>
        <w:gridCol w:w="1836"/>
        <w:gridCol w:w="1815"/>
      </w:tblGrid>
      <w:tr w:rsidR="00CA0AC0" w:rsidRPr="00CF07A3" w:rsidTr="00EE6364">
        <w:tc>
          <w:tcPr>
            <w:tcW w:w="709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F07A3">
              <w:rPr>
                <w:rFonts w:ascii="Times New Roman" w:hAnsi="Times New Roman" w:cs="Times New Roman"/>
              </w:rPr>
              <w:t>Дни</w:t>
            </w:r>
          </w:p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134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Области, 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деятель-ности</w:t>
            </w:r>
            <w:proofErr w:type="spellEnd"/>
            <w:proofErr w:type="gramEnd"/>
          </w:p>
        </w:tc>
        <w:tc>
          <w:tcPr>
            <w:tcW w:w="4536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НОД, организация образовательной деятельности в режимных моментах через интеграцию образовательных областей</w:t>
            </w:r>
          </w:p>
        </w:tc>
        <w:tc>
          <w:tcPr>
            <w:tcW w:w="1836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 с учетом интеграции образовательных областей</w:t>
            </w:r>
          </w:p>
        </w:tc>
        <w:tc>
          <w:tcPr>
            <w:tcW w:w="1815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CA0AC0" w:rsidRPr="00CF07A3" w:rsidTr="00EE6364">
        <w:tc>
          <w:tcPr>
            <w:tcW w:w="709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0AC0" w:rsidRPr="00CF07A3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AC0" w:rsidRPr="00CF07A3" w:rsidRDefault="00CA0AC0" w:rsidP="00CA0AC0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A0AC0" w:rsidRDefault="00CA0AC0" w:rsidP="00CA0AC0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5947"/>
        <w:gridCol w:w="1843"/>
        <w:gridCol w:w="1815"/>
      </w:tblGrid>
      <w:tr w:rsidR="00CA0AC0" w:rsidTr="00EE6364">
        <w:tc>
          <w:tcPr>
            <w:tcW w:w="709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F07A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</w:t>
            </w:r>
            <w:r w:rsidRPr="00CF07A3">
              <w:rPr>
                <w:rFonts w:ascii="Times New Roman" w:hAnsi="Times New Roman" w:cs="Times New Roman"/>
              </w:rPr>
              <w:t>и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5947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НОД, организация образовательной деятельности в режимных моментах через интеграцию образовательных областей</w:t>
            </w:r>
          </w:p>
        </w:tc>
        <w:tc>
          <w:tcPr>
            <w:tcW w:w="1843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 с учетом интеграции образовательных областей</w:t>
            </w:r>
          </w:p>
        </w:tc>
        <w:tc>
          <w:tcPr>
            <w:tcW w:w="1815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CA0AC0" w:rsidTr="00EE6364">
        <w:tc>
          <w:tcPr>
            <w:tcW w:w="709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3A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985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F25C9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«Модели образовательной деятельности на неделю в младшем (старшем) дошкольном возрасте (или для детей раннего возраста)», прописывая образовательные области: социально-коммуникативное развитие (познавательное развитие, речевое развитие, художественно-эстетическое развитие, физическое развитие) - пишем содержание и цель (закреплять, развивать, совершенствовать, формировать и т.д.), указывая имена детей по необходимости. </w:t>
            </w:r>
            <w:proofErr w:type="gramEnd"/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 перед НОД – указываем цель (закреплять, развивать, совершенствовать, формировать и т.д.)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F25C9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планируем по комплексно-тематическому, перспективному плану согласно ООП ДОУ.                                                                         Программное содержание НОД планируем по ООП ДОУ, программе «От рождения до школы»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.Гербовой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Т.И.Комаровой, методической литературе по данным программам с логотипом «Соответствует ФГОС ДО»,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программное содержание соответствует нашим Программам.                               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программного содержания НОД указываем название методической литературы, автора, страницу и номер занятия.                                                                 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F25C9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№  прогулки или название по картотеке «Организация прогулки с детьми младшей группы» (средней, старшей, подготовительной группы). </w:t>
            </w:r>
          </w:p>
          <w:p w:rsidR="00CA0AC0" w:rsidRPr="009F423D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23D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дня: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1.Гимнастика после сна или бодрящая гимнастика, или игровой комплекс любой направленности – указываем номер или название согласно «Модели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№249» и групповой картотеке.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художественной литературы:  указать название произведения, жанры, автора.                         </w:t>
            </w:r>
            <w:r w:rsidRPr="009F4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речевому развитию </w:t>
            </w:r>
            <w:r w:rsidRPr="009F4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не планируем согласно ФГОС </w:t>
            </w:r>
            <w:proofErr w:type="gramStart"/>
            <w:r w:rsidRPr="009F423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9F42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F2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0AC0" w:rsidRPr="009F423D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.Втор</w:t>
            </w:r>
            <w:r w:rsidRPr="00AF25C9">
              <w:rPr>
                <w:rFonts w:ascii="Times New Roman" w:hAnsi="Times New Roman" w:cs="Times New Roman"/>
                <w:b/>
                <w:sz w:val="28"/>
                <w:szCs w:val="28"/>
              </w:rPr>
              <w:t>ая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№  прогулки или название по картотеке «Организация прогулки с детьми младшей группы» (средней, старшей, подготовительной группы). 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7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F423D"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«Модели образовательной деятельности на неделю в младшем (старшем) дошкольном возрасте (или для детей раннего возраста)», прописывая образовательные области: социально-коммуникативное развитие (познавательное развитие, речевое развитие, художественно-эстетическое развитие, физическое развитие) - пишем содержание и цель (закреплять, развивать, совершенствовать, формировать и т.д.), указывая имена детей по необходимости. </w:t>
            </w:r>
            <w:proofErr w:type="gramEnd"/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«Модели образовательной деятельности на неделю в младшем (старшем) дошкольном возрасте (или для детей раннего возраста)» </w:t>
            </w:r>
          </w:p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0AC0" w:rsidRDefault="00CA0AC0" w:rsidP="00EE636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рекоменда-циям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513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751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8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513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7513">
              <w:rPr>
                <w:rFonts w:ascii="Times New Roman" w:hAnsi="Times New Roman" w:cs="Times New Roman"/>
                <w:sz w:val="28"/>
                <w:szCs w:val="28"/>
              </w:rPr>
              <w:t>вающей</w:t>
            </w:r>
            <w:proofErr w:type="spellEnd"/>
            <w:r w:rsidRPr="008B7513">
              <w:rPr>
                <w:rFonts w:ascii="Times New Roman" w:hAnsi="Times New Roman" w:cs="Times New Roman"/>
                <w:sz w:val="28"/>
                <w:szCs w:val="28"/>
              </w:rPr>
              <w:t xml:space="preserve"> среды для самостоятельной </w:t>
            </w:r>
            <w:proofErr w:type="spellStart"/>
            <w:r w:rsidRPr="008B7513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751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8B751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E0D98" w:rsidRDefault="00BE0D98"/>
    <w:p w:rsidR="001A7438" w:rsidRDefault="001A7438"/>
    <w:p w:rsidR="001A7438" w:rsidRDefault="001A7438"/>
    <w:p w:rsidR="001A7438" w:rsidRDefault="001A7438"/>
    <w:p w:rsidR="001A7438" w:rsidRDefault="001A7438"/>
    <w:p w:rsidR="00977FA5" w:rsidRDefault="00977FA5" w:rsidP="00977FA5">
      <w:pPr>
        <w:tabs>
          <w:tab w:val="left" w:pos="586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Рекомендации воспитателям « Игровые приемы мотивации дошкольников».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МКДОУ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/с №249 старший воспитатель первой квалификационной категории Кузнецова О.А.                </w:t>
      </w:r>
    </w:p>
    <w:p w:rsidR="001A7438" w:rsidRDefault="00977FA5" w:rsidP="00977FA5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Гость группы (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игровой сказочный персонаж, взрослый, ребенок подготовительной группы).</w:t>
      </w:r>
      <w:r w:rsidRPr="003E73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Шумовой эффект 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(шум, треск, стук...)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73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Сюрприз на окне (закрытое изображение, незаконченный рисунок, часть рисунка, силуэт, сюрприз за окном).                                                                                                                  4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Интрига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сюрпризом (откроем, когда придут все наши друзья, очень хрупкое, загадочное, морское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E73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План-карта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маршрутная карта.                                                                          6. П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овар приглашает в 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и просит сделать что-то.                                                  7. Музыкальный руководитель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интересное развлечение,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 помочь.</w:t>
      </w:r>
      <w:r w:rsidRPr="003E73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Замена предметов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                                                                               9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коллекции, использование коллекций открыток, значков, ракушек, камней, обертки от конфет и т.д</w:t>
      </w:r>
      <w:r w:rsidR="008C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10</w:t>
      </w:r>
      <w:r w:rsidRPr="003E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Просьба воспитателя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помощи.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13. Природный, бросовый материал.                                                                                        14. Письмо, переписка с игровым сказочным персонажем.                                                                                 15. Посылка.                                                                                                                                             16. Использование ИКТ.                                                                                                         17.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Видеопривет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малышей, сказочного персонажа.                                                                                                      17. Недорисованная картина.                                                                                                                                        18. Картинка – загадка.                                                                                                                               19. Чьи следы (внести полотно со следами птиц, животных), чей дом.                                                                                                                                  20. Необычный костюм воспитателя, перевоплощение воспитателя.                                                        21. Чудесный мешочек.                                                                                                                     22.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разрезные картинки, части игрушек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сюрприза.                                                                              23. Музыкальный эффект.                                                                                                           24. Волшебная шкатулка.                                                                                                        25. Бабушкин сундук.                                                                                                             26.Большая книга сказок.                                                                                                                                             27.Различные виды театров.                                                                                                                            28.Картинки или предметы орудий труда разных профессий взрослых.                                                      29.Картинки или продукты питания (корм) человека, животных, птиц и т.д.                     30.Инструменты для экспериментирования и опытов.                                                        31. Незаконченная поделка, открытка.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A7438" w:rsidSect="00BE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AC0"/>
    <w:rsid w:val="001A7438"/>
    <w:rsid w:val="008C5174"/>
    <w:rsid w:val="00977FA5"/>
    <w:rsid w:val="00BE0D98"/>
    <w:rsid w:val="00BE5540"/>
    <w:rsid w:val="00CA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7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2018-02-24T08:13:00Z</dcterms:created>
  <dcterms:modified xsi:type="dcterms:W3CDTF">2018-02-24T08:29:00Z</dcterms:modified>
</cp:coreProperties>
</file>